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4561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AC2889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4561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AC2889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803402" w:rsidRPr="00E02542" w:rsidTr="00FF3E5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30.657</w:t>
            </w:r>
          </w:p>
        </w:tc>
        <w:tc>
          <w:tcPr>
            <w:tcW w:w="1006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30.7</w:t>
            </w:r>
          </w:p>
        </w:tc>
        <w:tc>
          <w:tcPr>
            <w:tcW w:w="1080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30.564</w:t>
            </w:r>
          </w:p>
        </w:tc>
      </w:tr>
      <w:tr w:rsidR="00803402" w:rsidRPr="00E02542" w:rsidTr="00FF3E5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803402" w:rsidRPr="00555038" w:rsidRDefault="00803402" w:rsidP="00803402">
            <w:pPr>
              <w:pStyle w:val="ad"/>
            </w:pPr>
            <w:r w:rsidRPr="00555038">
              <w:t>6.9149</w:t>
            </w:r>
          </w:p>
        </w:tc>
        <w:tc>
          <w:tcPr>
            <w:tcW w:w="1006" w:type="dxa"/>
            <w:shd w:val="clear" w:color="auto" w:fill="auto"/>
          </w:tcPr>
          <w:p w:rsidR="00803402" w:rsidRPr="00555038" w:rsidRDefault="00803402" w:rsidP="00803402">
            <w:pPr>
              <w:pStyle w:val="ad"/>
            </w:pPr>
            <w:r w:rsidRPr="00555038">
              <w:t>6.9049</w:t>
            </w:r>
          </w:p>
        </w:tc>
        <w:tc>
          <w:tcPr>
            <w:tcW w:w="1080" w:type="dxa"/>
            <w:shd w:val="clear" w:color="auto" w:fill="auto"/>
          </w:tcPr>
          <w:p w:rsidR="00803402" w:rsidRPr="00555038" w:rsidRDefault="00803402" w:rsidP="00803402">
            <w:pPr>
              <w:pStyle w:val="ad"/>
            </w:pPr>
            <w:r w:rsidRPr="00555038">
              <w:t>6.8889</w:t>
            </w:r>
          </w:p>
        </w:tc>
      </w:tr>
      <w:tr w:rsidR="00803402" w:rsidRPr="00E02542" w:rsidTr="00FF3E5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6.8703</w:t>
            </w:r>
          </w:p>
        </w:tc>
        <w:tc>
          <w:tcPr>
            <w:tcW w:w="1006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6.8783</w:t>
            </w:r>
          </w:p>
        </w:tc>
        <w:tc>
          <w:tcPr>
            <w:tcW w:w="1080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6.8462</w:t>
            </w:r>
          </w:p>
        </w:tc>
      </w:tr>
      <w:tr w:rsidR="00803402" w:rsidRPr="00E02542" w:rsidTr="00FF3E5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803402" w:rsidRPr="00555038" w:rsidRDefault="00803402" w:rsidP="00803402">
            <w:pPr>
              <w:pStyle w:val="ad"/>
            </w:pPr>
            <w:r w:rsidRPr="00555038">
              <w:t>113.31</w:t>
            </w:r>
          </w:p>
        </w:tc>
        <w:tc>
          <w:tcPr>
            <w:tcW w:w="1006" w:type="dxa"/>
            <w:shd w:val="clear" w:color="auto" w:fill="auto"/>
          </w:tcPr>
          <w:p w:rsidR="00803402" w:rsidRPr="00555038" w:rsidRDefault="00803402" w:rsidP="00803402">
            <w:pPr>
              <w:pStyle w:val="ad"/>
            </w:pPr>
            <w:r w:rsidRPr="00555038">
              <w:t>113.55</w:t>
            </w:r>
          </w:p>
        </w:tc>
        <w:tc>
          <w:tcPr>
            <w:tcW w:w="1080" w:type="dxa"/>
            <w:shd w:val="clear" w:color="auto" w:fill="auto"/>
          </w:tcPr>
          <w:p w:rsidR="00803402" w:rsidRPr="00555038" w:rsidRDefault="00803402" w:rsidP="00803402">
            <w:pPr>
              <w:pStyle w:val="ad"/>
            </w:pPr>
            <w:r w:rsidRPr="00555038">
              <w:t>112.91</w:t>
            </w:r>
          </w:p>
        </w:tc>
      </w:tr>
      <w:tr w:rsidR="00803402" w:rsidRPr="00E02542" w:rsidTr="00FF3E5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1.0766</w:t>
            </w:r>
          </w:p>
        </w:tc>
        <w:tc>
          <w:tcPr>
            <w:tcW w:w="1006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1.077</w:t>
            </w:r>
          </w:p>
        </w:tc>
        <w:tc>
          <w:tcPr>
            <w:tcW w:w="1080" w:type="dxa"/>
            <w:shd w:val="clear" w:color="auto" w:fill="FFFFCC"/>
          </w:tcPr>
          <w:p w:rsidR="00803402" w:rsidRPr="00555038" w:rsidRDefault="00803402" w:rsidP="00803402">
            <w:pPr>
              <w:pStyle w:val="ad"/>
            </w:pPr>
            <w:r w:rsidRPr="00555038">
              <w:t>1.0706</w:t>
            </w:r>
          </w:p>
        </w:tc>
      </w:tr>
      <w:tr w:rsidR="00803402" w:rsidRPr="00E02542" w:rsidTr="00FF3E5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803402" w:rsidRPr="00555038" w:rsidRDefault="00803402" w:rsidP="00803402">
            <w:pPr>
              <w:pStyle w:val="ad"/>
            </w:pPr>
            <w:r w:rsidRPr="00555038">
              <w:t>0.7678</w:t>
            </w:r>
          </w:p>
        </w:tc>
        <w:tc>
          <w:tcPr>
            <w:tcW w:w="1006" w:type="dxa"/>
            <w:shd w:val="clear" w:color="auto" w:fill="auto"/>
          </w:tcPr>
          <w:p w:rsidR="00803402" w:rsidRPr="00555038" w:rsidRDefault="00803402" w:rsidP="00803402">
            <w:pPr>
              <w:pStyle w:val="ad"/>
            </w:pPr>
            <w:r w:rsidRPr="00555038">
              <w:t>0.7717</w:t>
            </w:r>
          </w:p>
        </w:tc>
        <w:tc>
          <w:tcPr>
            <w:tcW w:w="1080" w:type="dxa"/>
            <w:shd w:val="clear" w:color="auto" w:fill="auto"/>
          </w:tcPr>
          <w:p w:rsidR="00803402" w:rsidRDefault="00803402" w:rsidP="00803402">
            <w:pPr>
              <w:pStyle w:val="ad"/>
            </w:pPr>
            <w:r w:rsidRPr="00555038">
              <w:t>0.7664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0.176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-0.005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0.65922</w:t>
            </w:r>
          </w:p>
        </w:tc>
        <w:tc>
          <w:tcPr>
            <w:tcW w:w="1080" w:type="dxa"/>
            <w:shd w:val="clear" w:color="auto" w:fill="FFFFCC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-0.00011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4.594</w:t>
            </w:r>
          </w:p>
        </w:tc>
        <w:tc>
          <w:tcPr>
            <w:tcW w:w="1080" w:type="dxa"/>
            <w:shd w:val="clear" w:color="auto" w:fill="auto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-0.4947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5.068</w:t>
            </w:r>
          </w:p>
        </w:tc>
        <w:tc>
          <w:tcPr>
            <w:tcW w:w="1080" w:type="dxa"/>
            <w:shd w:val="clear" w:color="auto" w:fill="FFFFCC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-0.162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0.8893</w:t>
            </w:r>
          </w:p>
        </w:tc>
        <w:tc>
          <w:tcPr>
            <w:tcW w:w="1080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0.0116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1.145</w:t>
            </w:r>
          </w:p>
        </w:tc>
        <w:tc>
          <w:tcPr>
            <w:tcW w:w="1080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0.02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0.865</w:t>
            </w:r>
          </w:p>
        </w:tc>
        <w:tc>
          <w:tcPr>
            <w:tcW w:w="1080" w:type="dxa"/>
            <w:shd w:val="clear" w:color="auto" w:fill="auto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-0.043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1.1158</w:t>
            </w:r>
          </w:p>
        </w:tc>
        <w:tc>
          <w:tcPr>
            <w:tcW w:w="1080" w:type="dxa"/>
            <w:shd w:val="clear" w:color="auto" w:fill="FFFFCC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-0.0804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2.441</w:t>
            </w:r>
          </w:p>
        </w:tc>
        <w:tc>
          <w:tcPr>
            <w:tcW w:w="1080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0.0541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4.2218</w:t>
            </w:r>
          </w:p>
        </w:tc>
        <w:tc>
          <w:tcPr>
            <w:tcW w:w="1080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0.0681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4.3267</w:t>
            </w:r>
          </w:p>
        </w:tc>
        <w:tc>
          <w:tcPr>
            <w:tcW w:w="1080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0.0334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3.199</w:t>
            </w:r>
          </w:p>
        </w:tc>
        <w:tc>
          <w:tcPr>
            <w:tcW w:w="1080" w:type="dxa"/>
            <w:shd w:val="clear" w:color="auto" w:fill="FFFFCC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-0.016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3.332</w:t>
            </w:r>
          </w:p>
        </w:tc>
        <w:tc>
          <w:tcPr>
            <w:tcW w:w="1080" w:type="dxa"/>
            <w:shd w:val="clear" w:color="auto" w:fill="auto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-0.009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0.68667</w:t>
            </w:r>
          </w:p>
        </w:tc>
        <w:tc>
          <w:tcPr>
            <w:tcW w:w="1080" w:type="dxa"/>
            <w:shd w:val="clear" w:color="auto" w:fill="FFFFCC"/>
          </w:tcPr>
          <w:p w:rsidR="00803402" w:rsidRPr="00803402" w:rsidRDefault="00803402" w:rsidP="00803402">
            <w:pPr>
              <w:pStyle w:val="ad"/>
              <w:rPr>
                <w:color w:val="FF0000"/>
              </w:rPr>
            </w:pPr>
            <w:r w:rsidRPr="00803402">
              <w:rPr>
                <w:color w:val="FF0000"/>
              </w:rPr>
              <w:t>-0.00022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1.14817</w:t>
            </w:r>
          </w:p>
        </w:tc>
        <w:tc>
          <w:tcPr>
            <w:tcW w:w="1080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0.01084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2.5402</w:t>
            </w:r>
          </w:p>
        </w:tc>
        <w:tc>
          <w:tcPr>
            <w:tcW w:w="1080" w:type="dxa"/>
            <w:shd w:val="clear" w:color="auto" w:fill="FFFFCC"/>
          </w:tcPr>
          <w:p w:rsidR="00803402" w:rsidRPr="00811E70" w:rsidRDefault="00803402" w:rsidP="00803402">
            <w:pPr>
              <w:pStyle w:val="ad"/>
            </w:pPr>
            <w:r w:rsidRPr="00811E70">
              <w:t>0.0454</w:t>
            </w:r>
          </w:p>
        </w:tc>
      </w:tr>
      <w:tr w:rsidR="00803402" w:rsidRPr="00C47FE8" w:rsidTr="007E2788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803402" w:rsidRPr="00811E70" w:rsidRDefault="00803402" w:rsidP="00803402">
            <w:pPr>
              <w:pStyle w:val="ad"/>
            </w:pPr>
            <w:r w:rsidRPr="00811E70">
              <w:t>3.1506</w:t>
            </w:r>
          </w:p>
        </w:tc>
        <w:tc>
          <w:tcPr>
            <w:tcW w:w="1080" w:type="dxa"/>
            <w:shd w:val="clear" w:color="auto" w:fill="auto"/>
          </w:tcPr>
          <w:p w:rsidR="00803402" w:rsidRDefault="00803402" w:rsidP="00803402">
            <w:pPr>
              <w:pStyle w:val="ad"/>
            </w:pPr>
            <w:r w:rsidRPr="00811E70">
              <w:t>0.0419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803402" w:rsidRPr="006F3ADE" w:rsidTr="007C4B4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803402" w:rsidRPr="00CA1578" w:rsidRDefault="00803402" w:rsidP="00803402">
            <w:pPr>
              <w:pStyle w:val="ad"/>
            </w:pPr>
            <w:r w:rsidRPr="00CA1578">
              <w:t>51.74</w:t>
            </w:r>
          </w:p>
        </w:tc>
        <w:tc>
          <w:tcPr>
            <w:tcW w:w="1080" w:type="dxa"/>
            <w:shd w:val="clear" w:color="auto" w:fill="FFFFCC"/>
          </w:tcPr>
          <w:p w:rsidR="00803402" w:rsidRPr="00CA1578" w:rsidRDefault="00803402" w:rsidP="00803402">
            <w:pPr>
              <w:pStyle w:val="ad"/>
            </w:pPr>
            <w:r w:rsidRPr="00CA1578">
              <w:t>0.04</w:t>
            </w:r>
          </w:p>
        </w:tc>
      </w:tr>
      <w:tr w:rsidR="00803402" w:rsidRPr="006F3ADE" w:rsidTr="007C4B4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803402" w:rsidRPr="00CA1578" w:rsidRDefault="00803402" w:rsidP="00803402">
            <w:pPr>
              <w:pStyle w:val="ad"/>
            </w:pPr>
            <w:r w:rsidRPr="00CA1578">
              <w:t>48.75</w:t>
            </w:r>
          </w:p>
        </w:tc>
        <w:tc>
          <w:tcPr>
            <w:tcW w:w="1080" w:type="dxa"/>
            <w:shd w:val="clear" w:color="auto" w:fill="auto"/>
          </w:tcPr>
          <w:p w:rsidR="00803402" w:rsidRPr="00CA1578" w:rsidRDefault="00803402" w:rsidP="00803402">
            <w:pPr>
              <w:pStyle w:val="ad"/>
            </w:pPr>
            <w:r w:rsidRPr="00CA1578">
              <w:t>0.1</w:t>
            </w:r>
          </w:p>
        </w:tc>
      </w:tr>
      <w:tr w:rsidR="00803402" w:rsidRPr="006F3ADE" w:rsidTr="007C4B4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803402" w:rsidRPr="00CA1578" w:rsidRDefault="00803402" w:rsidP="00803402">
            <w:pPr>
              <w:pStyle w:val="ad"/>
            </w:pPr>
            <w:r w:rsidRPr="00CA1578">
              <w:t>1226.61</w:t>
            </w:r>
          </w:p>
        </w:tc>
        <w:tc>
          <w:tcPr>
            <w:tcW w:w="1080" w:type="dxa"/>
            <w:shd w:val="clear" w:color="auto" w:fill="FFFFCC"/>
          </w:tcPr>
          <w:p w:rsidR="00803402" w:rsidRDefault="00803402" w:rsidP="00803402">
            <w:pPr>
              <w:pStyle w:val="ad"/>
            </w:pPr>
            <w:r w:rsidRPr="00803402">
              <w:rPr>
                <w:color w:val="FF0000"/>
              </w:rPr>
              <w:t>-0.68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803402" w:rsidRPr="006F3ADE" w:rsidTr="00EE62C9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E61C6C">
              <w:t>20934.55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803402">
              <w:rPr>
                <w:color w:val="FF0000"/>
              </w:rPr>
              <w:t>-15.55</w:t>
            </w:r>
          </w:p>
        </w:tc>
      </w:tr>
      <w:tr w:rsidR="00803402" w:rsidRPr="006F3ADE" w:rsidTr="00EE62C9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803402" w:rsidRPr="00E61C6C" w:rsidRDefault="00803402" w:rsidP="00803402">
            <w:pPr>
              <w:pStyle w:val="ad"/>
            </w:pPr>
            <w:r w:rsidRPr="00E61C6C">
              <w:t>5900.76</w:t>
            </w:r>
          </w:p>
        </w:tc>
        <w:tc>
          <w:tcPr>
            <w:tcW w:w="1080" w:type="dxa"/>
            <w:shd w:val="clear" w:color="auto" w:fill="FFFFCC"/>
          </w:tcPr>
          <w:p w:rsidR="00803402" w:rsidRPr="00E61C6C" w:rsidRDefault="00803402" w:rsidP="00803402">
            <w:pPr>
              <w:pStyle w:val="ad"/>
            </w:pPr>
            <w:r w:rsidRPr="00E61C6C">
              <w:t>0.713</w:t>
            </w:r>
          </w:p>
        </w:tc>
      </w:tr>
      <w:tr w:rsidR="00803402" w:rsidRPr="006F3ADE" w:rsidTr="00EE62C9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E61C6C">
              <w:t>2381.38</w:t>
            </w:r>
          </w:p>
        </w:tc>
        <w:tc>
          <w:tcPr>
            <w:tcW w:w="1080" w:type="dxa"/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803402">
              <w:rPr>
                <w:color w:val="FF0000"/>
              </w:rPr>
              <w:t>-3.88</w:t>
            </w:r>
          </w:p>
        </w:tc>
      </w:tr>
      <w:tr w:rsidR="00803402" w:rsidRPr="006F3ADE" w:rsidTr="00EE62C9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803402" w:rsidRPr="00E61C6C" w:rsidRDefault="00803402" w:rsidP="00803402">
            <w:pPr>
              <w:pStyle w:val="ad"/>
            </w:pPr>
            <w:r w:rsidRPr="00E61C6C">
              <w:t>12083.18</w:t>
            </w:r>
          </w:p>
        </w:tc>
        <w:tc>
          <w:tcPr>
            <w:tcW w:w="1080" w:type="dxa"/>
            <w:shd w:val="clear" w:color="auto" w:fill="FFFFCC"/>
          </w:tcPr>
          <w:p w:rsidR="00803402" w:rsidRPr="00E61C6C" w:rsidRDefault="00803402" w:rsidP="00803402">
            <w:pPr>
              <w:pStyle w:val="ad"/>
            </w:pPr>
            <w:r w:rsidRPr="00E61C6C">
              <w:t>73.31</w:t>
            </w:r>
          </w:p>
        </w:tc>
      </w:tr>
      <w:tr w:rsidR="00803402" w:rsidRPr="006F3ADE" w:rsidTr="00EE62C9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E61C6C">
              <w:t>3394.585</w:t>
            </w:r>
          </w:p>
        </w:tc>
        <w:tc>
          <w:tcPr>
            <w:tcW w:w="1080" w:type="dxa"/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E61C6C">
              <w:t>28.425</w:t>
            </w:r>
          </w:p>
        </w:tc>
      </w:tr>
      <w:tr w:rsidR="00803402" w:rsidRPr="006F3ADE" w:rsidTr="00EE62C9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803402" w:rsidRPr="00E61C6C" w:rsidRDefault="00803402" w:rsidP="00803402">
            <w:pPr>
              <w:pStyle w:val="ad"/>
            </w:pPr>
            <w:r w:rsidRPr="00E61C6C">
              <w:t>23792.85</w:t>
            </w:r>
          </w:p>
        </w:tc>
        <w:tc>
          <w:tcPr>
            <w:tcW w:w="1080" w:type="dxa"/>
            <w:shd w:val="clear" w:color="auto" w:fill="FFFFCC"/>
          </w:tcPr>
          <w:p w:rsidR="00803402" w:rsidRPr="00E61C6C" w:rsidRDefault="00803402" w:rsidP="00803402">
            <w:pPr>
              <w:pStyle w:val="ad"/>
            </w:pPr>
            <w:r w:rsidRPr="00E61C6C">
              <w:t>495.43</w:t>
            </w:r>
          </w:p>
        </w:tc>
      </w:tr>
      <w:tr w:rsidR="00803402" w:rsidRPr="006F3ADE" w:rsidTr="00EE62C9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E61C6C">
              <w:t>9837.83</w:t>
            </w:r>
          </w:p>
        </w:tc>
        <w:tc>
          <w:tcPr>
            <w:tcW w:w="1080" w:type="dxa"/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E61C6C">
              <w:t>11.35</w:t>
            </w:r>
          </w:p>
        </w:tc>
      </w:tr>
      <w:tr w:rsidR="00803402" w:rsidRPr="00745739" w:rsidTr="00EE62C9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803402" w:rsidRPr="00E61C6C" w:rsidRDefault="00803402" w:rsidP="00803402">
            <w:pPr>
              <w:pStyle w:val="ad"/>
            </w:pPr>
            <w:r w:rsidRPr="00E61C6C">
              <w:t>19590.14</w:t>
            </w:r>
          </w:p>
        </w:tc>
        <w:tc>
          <w:tcPr>
            <w:tcW w:w="1080" w:type="dxa"/>
            <w:shd w:val="clear" w:color="auto" w:fill="FFFFCC"/>
          </w:tcPr>
          <w:p w:rsidR="00803402" w:rsidRPr="00E61C6C" w:rsidRDefault="00803402" w:rsidP="00803402">
            <w:pPr>
              <w:pStyle w:val="ad"/>
            </w:pPr>
            <w:r w:rsidRPr="00803402">
              <w:rPr>
                <w:color w:val="FF0000"/>
              </w:rPr>
              <w:t>-92.77</w:t>
            </w:r>
          </w:p>
        </w:tc>
      </w:tr>
      <w:tr w:rsidR="00803402" w:rsidRPr="006F3ADE" w:rsidTr="00EE62C9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803402" w:rsidRPr="00915E2A" w:rsidRDefault="00803402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803402" w:rsidRPr="00E61C6C" w:rsidRDefault="00803402" w:rsidP="00803402">
            <w:pPr>
              <w:pStyle w:val="ad"/>
            </w:pPr>
            <w:r w:rsidRPr="00E61C6C">
              <w:t>2150.08</w:t>
            </w:r>
          </w:p>
        </w:tc>
        <w:tc>
          <w:tcPr>
            <w:tcW w:w="1080" w:type="dxa"/>
            <w:shd w:val="clear" w:color="auto" w:fill="auto"/>
          </w:tcPr>
          <w:p w:rsidR="00803402" w:rsidRDefault="00803402" w:rsidP="00803402">
            <w:pPr>
              <w:pStyle w:val="ad"/>
            </w:pPr>
            <w:r w:rsidRPr="00E61C6C">
              <w:t>2.57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CF3828" w:rsidRPr="00E81EE2" w:rsidRDefault="00E81EE2" w:rsidP="00E81EE2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E81EE2">
        <w:rPr>
          <w:rFonts w:asciiTheme="minorHAnsi" w:eastAsia="標楷體" w:hAnsiTheme="minorHAnsi" w:hint="eastAsia"/>
          <w:noProof/>
          <w:sz w:val="16"/>
          <w:szCs w:val="16"/>
        </w:rPr>
        <w:t>美聯儲升息可能意味著全球寬鬆政策周期已近尾聲</w:t>
      </w:r>
      <w:r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Pr="00E81EE2">
        <w:rPr>
          <w:rFonts w:asciiTheme="minorHAnsi" w:eastAsia="標楷體" w:hAnsiTheme="minorHAnsi" w:hint="eastAsia"/>
          <w:noProof/>
          <w:sz w:val="16"/>
          <w:szCs w:val="16"/>
        </w:rPr>
        <w:t>美國聯邦儲備理事會</w:t>
      </w:r>
      <w:r w:rsidRPr="00E81EE2">
        <w:rPr>
          <w:rFonts w:asciiTheme="minorHAnsi" w:eastAsia="標楷體" w:hAnsiTheme="minorHAnsi" w:hint="eastAsia"/>
          <w:noProof/>
          <w:sz w:val="16"/>
          <w:szCs w:val="16"/>
        </w:rPr>
        <w:t>(</w:t>
      </w:r>
      <w:r w:rsidRPr="00E81EE2">
        <w:rPr>
          <w:rFonts w:asciiTheme="minorHAnsi" w:eastAsia="標楷體" w:hAnsiTheme="minorHAnsi" w:hint="eastAsia"/>
          <w:noProof/>
          <w:sz w:val="16"/>
          <w:szCs w:val="16"/>
        </w:rPr>
        <w:t>美聯儲</w:t>
      </w:r>
      <w:r w:rsidRPr="00E81EE2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Pr="00E81EE2">
        <w:rPr>
          <w:rFonts w:asciiTheme="minorHAnsi" w:eastAsia="標楷體" w:hAnsiTheme="minorHAnsi" w:hint="eastAsia"/>
          <w:noProof/>
          <w:sz w:val="16"/>
          <w:szCs w:val="16"/>
        </w:rPr>
        <w:t>周三決議加息，重回升息軌道，可能為陷於困境的日本央行和歐洲央行助一臂之力，並結束亞洲地區長期以來的貨幣刺激政策周期；從中國到土耳其乃至英國當局都在周四對美國的政策調整作出回應。</w:t>
      </w:r>
    </w:p>
    <w:p w:rsidR="00CF3828" w:rsidRPr="00E81EE2" w:rsidRDefault="00CF3828" w:rsidP="00E81EE2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27D3C9B" wp14:editId="298AF162">
                <wp:simplePos x="0" y="0"/>
                <wp:positionH relativeFrom="column">
                  <wp:posOffset>-87630</wp:posOffset>
                </wp:positionH>
                <wp:positionV relativeFrom="paragraph">
                  <wp:posOffset>935578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528558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634769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28558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pt;margin-top:73.65pt;width:268.85pt;height:43pt;z-index:251686912;mso-width-relative:margin;mso-height-relative:margin" coordorigin="-624,95285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">
                <v:shape id="手繪多邊形 13" o:spid="_x0000_s1030" style="position:absolute;left:-239;top:96347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95285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美國樓市和製造業數據喜人，凸顯美國經濟增長勢頭強韌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美國房屋建築活動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月跳增，因氣溫高於正常水平，提振獨棟房屋開工猛增至接近九年半高位，表明儘管經濟增長在首季明顯放緩，但步伐仍然穩健。獨棟房屋開工急升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6.5%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，年率為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87.2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萬戶，為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2007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年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月以來最高水平。</w:t>
      </w:r>
      <w:r w:rsidRPr="00E81EE2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</w:p>
    <w:p w:rsidR="000C6E8B" w:rsidRPr="00CF3828" w:rsidRDefault="000C6E8B" w:rsidP="00CF3828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7B3E7F" w:rsidRPr="000C6E8B" w:rsidRDefault="007B3E7F" w:rsidP="000C6E8B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台幣兌美元市場週四出量收升近兩角，創近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22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個月新高；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雖如預期升息一碼，但會後聲明偏鴿派，美元應聲走弱，外資大舉湧入且淨匯入近五億美元，台幣開盤跳空走升，早盤一度勁升逾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角；進口商和散戶則站在買方，外資匯入，帶動股匯雙漲。短線美元回弱，加上外資匯入將令台幣走勢偏強，今日台幣交投區間預估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30.600~30.700</w:t>
      </w:r>
      <w:r w:rsidR="00E25FEB" w:rsidRPr="00E25FEB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台灣銀行間短率周四持穩。台幣市場因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800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億台幣公債還本，資金轉鬆，且大型銀行開始承做跨月拆款。人民幣市場部分，隔拆利率在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1.80%-3.00%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 xml:space="preserve"> 1,970 -2,144</w:t>
      </w:r>
      <w:r w:rsidR="00E81EE2" w:rsidRPr="00E81EE2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B2741F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週四美國公佈經濟數據好壞不一，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月新屋開工優於預期，但營建許可則較市場預期疲弱，昨日美債利率於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大跌後，小幅彈升，終場美債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4.7bps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2.540%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年券利率上揚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4.4bps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3.151%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，今日美國關注生產與密大消費信心數據，短線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年券高檔整理走勢不變，有機會回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2.60%</w:t>
      </w:r>
      <w:r w:rsidR="006A4575" w:rsidRPr="006A4575">
        <w:rPr>
          <w:rFonts w:asciiTheme="minorHAnsi" w:eastAsia="標楷體" w:hAnsiTheme="minorHAnsi" w:hint="eastAsia"/>
          <w:noProof/>
          <w:sz w:val="16"/>
          <w:szCs w:val="16"/>
        </w:rPr>
        <w:t>測試。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165B1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週四離岸人民幣匯率於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會議大幅走升後小幅回貶，昨日人行亦調升公開市場與貨幣政策工具利率，在相關政策利率同時調整下，預估離岸人民幣匯率將回到震盪整理走勢，短線區間將介於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6.85~6.90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間整理。離岸人民幣換匯點下降，一個月降至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195(-5)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2087(-98)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。人民幣匯率期貨市場週四成交量降至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1,042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0.483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3,640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1.27</w:t>
      </w:r>
      <w:r w:rsidR="00BC00E4" w:rsidRPr="00BC00E4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E25FEB" w:rsidRDefault="00E25FEB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bookmarkStart w:id="0" w:name="_GoBack"/>
      <w:bookmarkEnd w:id="0"/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BC0C35">
        <w:trPr>
          <w:trHeight w:val="345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FOMC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利率決策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上限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15-Mar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FOMC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利率決策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下限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15-Mar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總淨</w:t>
            </w:r>
            <w:proofErr w:type="gramEnd"/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TIC 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流量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$110.4b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-$42.8b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淨長期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TIC 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流量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$6.3b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-$12.9b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新屋開工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1264k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1288k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1246k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新屋開工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3.00%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-2.60%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營建許可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1268k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1213k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1285k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建築許可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-1.90%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-6.20%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4.60%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11-Mar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240k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241k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243k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4-Mar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2050k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2030k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2058k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費城聯</w:t>
            </w:r>
            <w:proofErr w:type="gramStart"/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準</w:t>
            </w:r>
            <w:proofErr w:type="gramEnd"/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企業展望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32.8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43.3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-4.20%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9.20%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-9.20%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密西根大學市場氣氛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Mar P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96.3</w:t>
            </w:r>
          </w:p>
        </w:tc>
      </w:tr>
      <w:tr w:rsidR="00BC0C35" w:rsidRPr="00BC0C35" w:rsidTr="00BC0C35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03/17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領先指數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C35" w:rsidRPr="00BC0C35" w:rsidRDefault="00BC0C35" w:rsidP="00BC0C3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C0C35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3AC"/>
    <w:rsid w:val="00305A23"/>
    <w:rsid w:val="00305CC5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97D4-5167-452F-A9A0-054A130CE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10</cp:revision>
  <cp:lastPrinted>2015-08-07T06:27:00Z</cp:lastPrinted>
  <dcterms:created xsi:type="dcterms:W3CDTF">2017-03-17T01:30:00Z</dcterms:created>
  <dcterms:modified xsi:type="dcterms:W3CDTF">2017-03-17T02:16:00Z</dcterms:modified>
</cp:coreProperties>
</file>