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4170B9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4170B9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901FE2" w:rsidRPr="00E02542" w:rsidTr="0085633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30.943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30.988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30.83</w:t>
            </w:r>
          </w:p>
        </w:tc>
      </w:tr>
      <w:tr w:rsidR="00901FE2" w:rsidRPr="00E02542" w:rsidTr="0085633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6.8672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6.8683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6.8565</w:t>
            </w:r>
          </w:p>
        </w:tc>
      </w:tr>
      <w:tr w:rsidR="00901FE2" w:rsidRPr="00E02542" w:rsidTr="0085633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6.8079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6.8137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6.7963</w:t>
            </w:r>
          </w:p>
        </w:tc>
      </w:tr>
      <w:tr w:rsidR="00901FE2" w:rsidRPr="00E02542" w:rsidTr="0085633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112.07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112.78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111.99</w:t>
            </w:r>
          </w:p>
        </w:tc>
      </w:tr>
      <w:tr w:rsidR="00901FE2" w:rsidRPr="00E02542" w:rsidTr="0085633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1.0735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1.0802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1.0706</w:t>
            </w:r>
          </w:p>
        </w:tc>
      </w:tr>
      <w:tr w:rsidR="00901FE2" w:rsidRPr="00E02542" w:rsidTr="0085633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0.7648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0.7684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0.763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0.65933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0.00033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5.8623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-0.6927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5.4369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-0.3024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0.8839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-0.0037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-0.01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-0.033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-0.05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2.278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0.0209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3.9031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0.0124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3.9497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0.0149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3.219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-0.022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3.497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0.074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0.69278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0.00445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0.00028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2.4077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-0.0774</w:t>
            </w:r>
          </w:p>
        </w:tc>
      </w:tr>
      <w:tr w:rsidR="00901FE2" w:rsidRPr="00C47FE8" w:rsidTr="00F42036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3.0473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-0.0527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01FE2" w:rsidRPr="006F3ADE" w:rsidTr="004266D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55.72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0.24</w:t>
            </w:r>
          </w:p>
        </w:tc>
      </w:tr>
      <w:tr w:rsidR="00901FE2" w:rsidRPr="006F3ADE" w:rsidTr="004266D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53.01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0.2</w:t>
            </w:r>
          </w:p>
        </w:tc>
      </w:tr>
      <w:tr w:rsidR="00901FE2" w:rsidRPr="006F3ADE" w:rsidTr="004266D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1230.8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1.79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01FE2" w:rsidRPr="006F3ADE" w:rsidTr="0067254E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20052.42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-19.04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5663.552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-3.214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2292.56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-4.</w:t>
            </w:r>
            <w:bookmarkStart w:id="0" w:name="_GoBack"/>
            <w:bookmarkEnd w:id="0"/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86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11509.84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-141.65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3288.165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17.636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23129.21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219.03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9538.01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-19.95</w:t>
            </w:r>
          </w:p>
        </w:tc>
      </w:tr>
      <w:tr w:rsidR="00901FE2" w:rsidRPr="00745739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18976.71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-126.41</w:t>
            </w:r>
          </w:p>
        </w:tc>
      </w:tr>
      <w:tr w:rsidR="00901FE2" w:rsidRPr="006F3ADE" w:rsidTr="0067254E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01FE2" w:rsidRPr="00915E2A" w:rsidRDefault="00901F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000000"/>
                <w:sz w:val="18"/>
                <w:szCs w:val="18"/>
              </w:rPr>
              <w:t>2077.66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01FE2" w:rsidRPr="00901FE2" w:rsidRDefault="00901FE2" w:rsidP="00901F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1FE2">
              <w:rPr>
                <w:rFonts w:ascii="Tahoma" w:hAnsi="Tahoma" w:cs="Tahoma"/>
                <w:color w:val="FF0000"/>
                <w:sz w:val="18"/>
                <w:szCs w:val="18"/>
              </w:rPr>
              <w:t>-4.91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AB570C" w:rsidRDefault="00AB570C" w:rsidP="00F072EF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AB570C">
        <w:rPr>
          <w:rFonts w:asciiTheme="minorHAnsi" w:eastAsia="標楷體" w:hAnsiTheme="minorHAnsi" w:hint="eastAsia"/>
          <w:noProof/>
          <w:sz w:val="16"/>
          <w:szCs w:val="16"/>
        </w:rPr>
        <w:t>美國費城聯邦儲備銀行總裁表示，</w:t>
      </w:r>
      <w:r w:rsidR="00B269FF" w:rsidRPr="00AB570C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B269FF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Pr="00AB570C">
        <w:rPr>
          <w:rFonts w:asciiTheme="minorHAnsi" w:eastAsia="標楷體" w:hAnsiTheme="minorHAnsi" w:hint="eastAsia"/>
          <w:noProof/>
          <w:sz w:val="16"/>
          <w:szCs w:val="16"/>
        </w:rPr>
        <w:t>下次會議時，應考慮升息。“我仍支持今年升息三次，當然這在很大程度上取決於經濟以及財政政策如何演變，”哈克就金融科技公司監管政策發表演講後對記者稱。“我認為</w:t>
      </w:r>
      <w:r w:rsidRPr="00AB570C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AB570C">
        <w:rPr>
          <w:rFonts w:asciiTheme="minorHAnsi" w:eastAsia="標楷體" w:hAnsiTheme="minorHAnsi" w:hint="eastAsia"/>
          <w:noProof/>
          <w:sz w:val="16"/>
          <w:szCs w:val="16"/>
        </w:rPr>
        <w:t>月可以考慮再升息</w:t>
      </w:r>
      <w:r w:rsidRPr="00AB570C">
        <w:rPr>
          <w:rFonts w:asciiTheme="minorHAnsi" w:eastAsia="標楷體" w:hAnsiTheme="minorHAnsi" w:hint="eastAsia"/>
          <w:noProof/>
          <w:sz w:val="16"/>
          <w:szCs w:val="16"/>
        </w:rPr>
        <w:t>25</w:t>
      </w:r>
      <w:r w:rsidRPr="00AB570C">
        <w:rPr>
          <w:rFonts w:asciiTheme="minorHAnsi" w:eastAsia="標楷體" w:hAnsiTheme="minorHAnsi" w:hint="eastAsia"/>
          <w:noProof/>
          <w:sz w:val="16"/>
          <w:szCs w:val="16"/>
        </w:rPr>
        <w:t>個基點。”</w:t>
      </w:r>
      <w:r w:rsidR="00B269FF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8149BC" w:rsidRPr="00B269FF" w:rsidRDefault="00B269FF" w:rsidP="00F072EF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5BE8B9" wp14:editId="1CFBF8A5">
                <wp:simplePos x="0" y="0"/>
                <wp:positionH relativeFrom="column">
                  <wp:posOffset>-88900</wp:posOffset>
                </wp:positionH>
                <wp:positionV relativeFrom="paragraph">
                  <wp:posOffset>852059</wp:posOffset>
                </wp:positionV>
                <wp:extent cx="3414395" cy="546735"/>
                <wp:effectExtent l="0" t="0" r="71755" b="8191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735"/>
                          <a:chOff x="-58004" y="8051624"/>
                          <a:chExt cx="3416735" cy="560932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157836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05162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pt;margin-top:67.1pt;width:268.85pt;height:43.05pt;z-index:251686912;mso-width-relative:margin;mso-height-relative:margin" coordorigin="-580,80516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">
                <v:shape id="手繪多邊形 13" o:spid="_x0000_s1030" style="position:absolute;left:-194;top:81578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80516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570C" w:rsidRPr="00B269FF">
        <w:rPr>
          <w:rFonts w:asciiTheme="minorHAnsi" w:eastAsia="標楷體" w:hAnsiTheme="minorHAnsi" w:hint="eastAsia"/>
          <w:noProof/>
          <w:sz w:val="16"/>
          <w:szCs w:val="16"/>
        </w:rPr>
        <w:t>對於美國指責其操縱匯率，歐洲央行週一予以否認，並警告稱，華盛頓目前正在公開討論的放鬆銀行業監管的提議，可能為下一輪金融危機埋下隱患。歐洲央行總裁德拉吉指出，放鬆監管是席捲全球的金融危機的罪魁禍首。削減銀行業監管是非常危險的。</w:t>
      </w:r>
    </w:p>
    <w:p w:rsidR="00E2548D" w:rsidRPr="00E2548D" w:rsidRDefault="00E2548D" w:rsidP="00B269FF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B269FF" w:rsidRDefault="00B269FF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99504B" w:rsidRDefault="00BC0912" w:rsidP="00662FB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台幣兌美元週一收盤升破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31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大關，並創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20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個月新高。因美國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月薪資增幅不及預期，美元指數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走弱，亞幣趨升，且外商銀昨日明顯拋匯，盤初一開盤就有不少大型外商銀密集拋匯，令台幣開市不久即強升至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30.830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盤中高點，吸引進口商或壽險等有美元需求的買盤出籠；午後則延續近期農曆年後每日匯市走勢，台幣升幅較盤初溫和。昨日美元買方多來自進口商及壽險。至於央行，盤初雖提供美元買單支援流動性，不過量並不大，也並非積極干預阻貶台幣。預計今天成交區間在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30.850~31.000</w:t>
      </w:r>
      <w:r w:rsidR="0099504B" w:rsidRPr="0099504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>臺灣銀行間短率週一往低位靠攏。年後通貨回籠、外資匯入且邁入提存期初，令市場資金相當寬鬆，雖有龍頭銀行因存款走錢沒開門，但無礙利率往區間低位調整。人民幣市場部分，隔拆利率在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>1.50%-2.50%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 xml:space="preserve"> 2,360 -2,550</w:t>
      </w:r>
      <w:r w:rsidR="005253A9" w:rsidRPr="005253A9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A2617B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週一美國無重要數據公佈，股市表現維持高檔整理，但債券市場受到法國大選風險導致市場避險資金往債券流動，終場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年期美債利率下滑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5.7bps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2.408%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4.3bps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3.047%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，今日市場無重要數據公布，美債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年利率回測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AB570C" w:rsidRPr="00AB570C">
        <w:rPr>
          <w:rFonts w:asciiTheme="minorHAnsi" w:eastAsia="標楷體" w:hAnsiTheme="minorHAnsi" w:hint="eastAsia"/>
          <w:noProof/>
          <w:sz w:val="16"/>
          <w:szCs w:val="16"/>
        </w:rPr>
        <w:t>，若突破整體偏空走勢可能趨於區間震盪。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週一離岸人民幣盤整，日內波動區間在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6.795-6.813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之間。雖然目前消息面不多，但須提防人民幣以長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K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棒方式突破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關卡。美元指數在非農就業後行情趨於平緩，估計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月整理區間在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98-101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。離岸人民幣換匯點下挫，一個月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235(-65)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2420(-270)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。期貨週一成交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406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0.11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2665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0.90</w:t>
      </w:r>
      <w:r w:rsidR="00BB07F0" w:rsidRPr="00BB07F0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FC0197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$436.59b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$434.20b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02/06-02/07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$3003.5b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$3010.5b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$3.67b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$4.86b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8.00%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14.00%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10.40%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13.20%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-$45.0b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-$45.2b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2.02%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FC0197" w:rsidRPr="00FC0197" w:rsidTr="00FC019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02/07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WPI(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7" w:rsidRPr="00FC0197" w:rsidRDefault="00FC0197" w:rsidP="00FC01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0197">
              <w:rPr>
                <w:rFonts w:ascii="Tahoma" w:hAnsi="Tahoma" w:cs="Tahoma" w:hint="eastAsia"/>
                <w:color w:val="000000"/>
                <w:sz w:val="20"/>
                <w:szCs w:val="20"/>
              </w:rPr>
              <w:t>1.41%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0F7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2EC8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6BA1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253A9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466B"/>
    <w:rsid w:val="0099504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2ED9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5B3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0F3A-D9FB-47CB-B079-762A96E2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28</cp:revision>
  <cp:lastPrinted>2015-08-07T06:27:00Z</cp:lastPrinted>
  <dcterms:created xsi:type="dcterms:W3CDTF">2017-02-07T01:04:00Z</dcterms:created>
  <dcterms:modified xsi:type="dcterms:W3CDTF">2017-02-07T02:32:00Z</dcterms:modified>
</cp:coreProperties>
</file>