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B4F7C" wp14:editId="4074FE12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343D0F4" wp14:editId="3BB4075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7C1E" wp14:editId="76252BA4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81AE2" wp14:editId="50FBFD9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D72A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D72A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12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C836D" wp14:editId="0C8ADDB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DA47E1" w:rsidRPr="00E02542" w:rsidTr="004F4614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31.86</w:t>
            </w:r>
          </w:p>
        </w:tc>
        <w:tc>
          <w:tcPr>
            <w:tcW w:w="1006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31.888</w:t>
            </w:r>
          </w:p>
        </w:tc>
        <w:tc>
          <w:tcPr>
            <w:tcW w:w="1080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31.769</w:t>
            </w:r>
          </w:p>
        </w:tc>
      </w:tr>
      <w:tr w:rsidR="00DA47E1" w:rsidRPr="00E02542" w:rsidTr="004F4614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6.891</w:t>
            </w:r>
          </w:p>
        </w:tc>
        <w:tc>
          <w:tcPr>
            <w:tcW w:w="1006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6.9092</w:t>
            </w:r>
          </w:p>
        </w:tc>
        <w:tc>
          <w:tcPr>
            <w:tcW w:w="1080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6.8981</w:t>
            </w:r>
          </w:p>
        </w:tc>
      </w:tr>
      <w:tr w:rsidR="00DA47E1" w:rsidRPr="00E02542" w:rsidTr="004F4614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6.9282</w:t>
            </w:r>
          </w:p>
        </w:tc>
        <w:tc>
          <w:tcPr>
            <w:tcW w:w="1006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6.9399</w:t>
            </w:r>
          </w:p>
        </w:tc>
        <w:tc>
          <w:tcPr>
            <w:tcW w:w="1080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6.9085</w:t>
            </w:r>
          </w:p>
        </w:tc>
      </w:tr>
      <w:tr w:rsidR="00DA47E1" w:rsidRPr="00E02542" w:rsidTr="004F4614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115.32</w:t>
            </w:r>
          </w:p>
        </w:tc>
        <w:tc>
          <w:tcPr>
            <w:tcW w:w="1006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115.37</w:t>
            </w:r>
          </w:p>
        </w:tc>
        <w:tc>
          <w:tcPr>
            <w:tcW w:w="1080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114.02</w:t>
            </w:r>
          </w:p>
        </w:tc>
      </w:tr>
      <w:tr w:rsidR="00DA47E1" w:rsidRPr="00E02542" w:rsidTr="004F4614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1.0561</w:t>
            </w:r>
          </w:p>
        </w:tc>
        <w:tc>
          <w:tcPr>
            <w:tcW w:w="1006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1.063</w:t>
            </w:r>
          </w:p>
        </w:tc>
        <w:tc>
          <w:tcPr>
            <w:tcW w:w="1080" w:type="dxa"/>
            <w:shd w:val="clear" w:color="auto" w:fill="FFFFCC"/>
          </w:tcPr>
          <w:p w:rsidR="00DA47E1" w:rsidRPr="00F43A50" w:rsidRDefault="00DA47E1" w:rsidP="00DA47E1">
            <w:pPr>
              <w:pStyle w:val="ad"/>
            </w:pPr>
            <w:r w:rsidRPr="00F43A50">
              <w:t>1.0531</w:t>
            </w:r>
          </w:p>
        </w:tc>
      </w:tr>
      <w:tr w:rsidR="00DA47E1" w:rsidRPr="00E02542" w:rsidTr="004F4614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0.7449</w:t>
            </w:r>
          </w:p>
        </w:tc>
        <w:tc>
          <w:tcPr>
            <w:tcW w:w="1006" w:type="dxa"/>
            <w:shd w:val="clear" w:color="auto" w:fill="auto"/>
          </w:tcPr>
          <w:p w:rsidR="00DA47E1" w:rsidRPr="00F43A50" w:rsidRDefault="00DA47E1" w:rsidP="00DA47E1">
            <w:pPr>
              <w:pStyle w:val="ad"/>
            </w:pPr>
            <w:r w:rsidRPr="00F43A50">
              <w:t>0.7496</w:t>
            </w:r>
          </w:p>
        </w:tc>
        <w:tc>
          <w:tcPr>
            <w:tcW w:w="1080" w:type="dxa"/>
            <w:shd w:val="clear" w:color="auto" w:fill="auto"/>
          </w:tcPr>
          <w:p w:rsidR="00DA47E1" w:rsidRDefault="00DA47E1" w:rsidP="00DA47E1">
            <w:pPr>
              <w:pStyle w:val="ad"/>
            </w:pPr>
            <w:r w:rsidRPr="00F43A50">
              <w:t>0.7435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0.16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DA47E1">
              <w:rPr>
                <w:color w:val="FF0000"/>
              </w:rPr>
              <w:t>-0.05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0.65822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0.00011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6.3364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0.4151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5.1343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0.197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0.9148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0.0138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1.155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0.035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0.8145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DA47E1">
              <w:rPr>
                <w:color w:val="FF0000"/>
              </w:rPr>
              <w:t>-0.0106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1.151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0.021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2.2925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0.0017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3.056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0.026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3.1265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0.0121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3.069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DA47E1">
              <w:rPr>
                <w:color w:val="FF0000"/>
              </w:rPr>
              <w:t>-0.004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3.115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0.022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0.43422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0.00111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0.9565</w:t>
            </w:r>
          </w:p>
        </w:tc>
        <w:tc>
          <w:tcPr>
            <w:tcW w:w="1080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0.00344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2.4675</w:t>
            </w:r>
          </w:p>
        </w:tc>
        <w:tc>
          <w:tcPr>
            <w:tcW w:w="1080" w:type="dxa"/>
            <w:shd w:val="clear" w:color="auto" w:fill="FFFFCC"/>
          </w:tcPr>
          <w:p w:rsidR="00DA47E1" w:rsidRPr="00347C16" w:rsidRDefault="00DA47E1" w:rsidP="00DA47E1">
            <w:pPr>
              <w:pStyle w:val="ad"/>
            </w:pPr>
            <w:r w:rsidRPr="00347C16">
              <w:t>0.0823</w:t>
            </w:r>
          </w:p>
        </w:tc>
      </w:tr>
      <w:tr w:rsidR="00DA47E1" w:rsidRPr="00C47FE8" w:rsidTr="008E4A8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DA47E1" w:rsidRPr="00347C16" w:rsidRDefault="00DA47E1" w:rsidP="00DA47E1">
            <w:pPr>
              <w:pStyle w:val="ad"/>
            </w:pPr>
            <w:r w:rsidRPr="00347C16">
              <w:t>3.1529</w:t>
            </w:r>
          </w:p>
        </w:tc>
        <w:tc>
          <w:tcPr>
            <w:tcW w:w="1080" w:type="dxa"/>
            <w:shd w:val="clear" w:color="auto" w:fill="auto"/>
          </w:tcPr>
          <w:p w:rsidR="00DA47E1" w:rsidRDefault="00DA47E1" w:rsidP="00DA47E1">
            <w:pPr>
              <w:pStyle w:val="ad"/>
            </w:pPr>
            <w:r w:rsidRPr="00347C16">
              <w:t>0.067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A47E1" w:rsidRPr="006F3ADE" w:rsidTr="008947D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DA47E1" w:rsidRPr="00CD10BF" w:rsidRDefault="00DA47E1" w:rsidP="00DA47E1">
            <w:pPr>
              <w:pStyle w:val="ad"/>
            </w:pPr>
            <w:r w:rsidRPr="00CD10BF">
              <w:t>54.33</w:t>
            </w:r>
          </w:p>
        </w:tc>
        <w:tc>
          <w:tcPr>
            <w:tcW w:w="1080" w:type="dxa"/>
            <w:shd w:val="clear" w:color="auto" w:fill="FFFFCC"/>
          </w:tcPr>
          <w:p w:rsidR="00DA47E1" w:rsidRPr="00CD10BF" w:rsidRDefault="00DA47E1" w:rsidP="00DA47E1">
            <w:pPr>
              <w:pStyle w:val="ad"/>
            </w:pPr>
            <w:r w:rsidRPr="00CD10BF">
              <w:t>2.31</w:t>
            </w:r>
          </w:p>
        </w:tc>
      </w:tr>
      <w:tr w:rsidR="00DA47E1" w:rsidRPr="006F3ADE" w:rsidTr="008947D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DA47E1" w:rsidRPr="00CD10BF" w:rsidRDefault="00DA47E1" w:rsidP="00DA47E1">
            <w:pPr>
              <w:pStyle w:val="ad"/>
            </w:pPr>
            <w:r w:rsidRPr="00CD10BF">
              <w:t>51.5</w:t>
            </w:r>
          </w:p>
        </w:tc>
        <w:tc>
          <w:tcPr>
            <w:tcW w:w="1080" w:type="dxa"/>
            <w:shd w:val="clear" w:color="auto" w:fill="auto"/>
          </w:tcPr>
          <w:p w:rsidR="00DA47E1" w:rsidRPr="00CD10BF" w:rsidRDefault="00DA47E1" w:rsidP="00DA47E1">
            <w:pPr>
              <w:pStyle w:val="ad"/>
            </w:pPr>
            <w:r w:rsidRPr="00CD10BF">
              <w:t>2.3</w:t>
            </w:r>
          </w:p>
        </w:tc>
      </w:tr>
      <w:tr w:rsidR="00DA47E1" w:rsidRPr="006F3ADE" w:rsidTr="008947D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DA47E1" w:rsidRPr="00CD10BF" w:rsidRDefault="00DA47E1" w:rsidP="00DA47E1">
            <w:pPr>
              <w:pStyle w:val="ad"/>
            </w:pPr>
            <w:r w:rsidRPr="00CD10BF">
              <w:t>1159.86</w:t>
            </w:r>
          </w:p>
        </w:tc>
        <w:tc>
          <w:tcPr>
            <w:tcW w:w="1080" w:type="dxa"/>
            <w:shd w:val="clear" w:color="auto" w:fill="FFFFCC"/>
          </w:tcPr>
          <w:p w:rsidR="00DA47E1" w:rsidRDefault="00DA47E1" w:rsidP="00DA47E1">
            <w:pPr>
              <w:pStyle w:val="ad"/>
            </w:pPr>
            <w:r w:rsidRPr="00DA47E1">
              <w:rPr>
                <w:color w:val="FF0000"/>
              </w:rPr>
              <w:t>-3.27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A47E1" w:rsidRPr="006F3ADE" w:rsidTr="00CF20EE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19756.85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142.04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5444.498</w:t>
            </w:r>
          </w:p>
        </w:tc>
        <w:tc>
          <w:tcPr>
            <w:tcW w:w="1080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27.142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2259.53</w:t>
            </w:r>
          </w:p>
        </w:tc>
        <w:tc>
          <w:tcPr>
            <w:tcW w:w="1080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13.34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11203.63</w:t>
            </w:r>
          </w:p>
        </w:tc>
        <w:tc>
          <w:tcPr>
            <w:tcW w:w="1080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24.21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3366.705</w:t>
            </w:r>
          </w:p>
        </w:tc>
        <w:tc>
          <w:tcPr>
            <w:tcW w:w="1080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18.446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22861.84</w:t>
            </w:r>
          </w:p>
        </w:tc>
        <w:tc>
          <w:tcPr>
            <w:tcW w:w="1080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DA47E1">
              <w:rPr>
                <w:color w:val="FF0000"/>
              </w:rPr>
              <w:t>-100.86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9392.68</w:t>
            </w:r>
          </w:p>
        </w:tc>
        <w:tc>
          <w:tcPr>
            <w:tcW w:w="1080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15.35</w:t>
            </w:r>
          </w:p>
        </w:tc>
      </w:tr>
      <w:tr w:rsidR="00DA47E1" w:rsidRPr="00745739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18996.37</w:t>
            </w:r>
          </w:p>
        </w:tc>
        <w:tc>
          <w:tcPr>
            <w:tcW w:w="1080" w:type="dxa"/>
            <w:shd w:val="clear" w:color="auto" w:fill="FFFFCC"/>
          </w:tcPr>
          <w:p w:rsidR="00DA47E1" w:rsidRPr="00090ABB" w:rsidRDefault="00DA47E1" w:rsidP="00DA47E1">
            <w:pPr>
              <w:pStyle w:val="ad"/>
            </w:pPr>
            <w:r w:rsidRPr="00090ABB">
              <w:t>209.66</w:t>
            </w:r>
          </w:p>
        </w:tc>
      </w:tr>
      <w:tr w:rsidR="00DA47E1" w:rsidRPr="006F3ADE" w:rsidTr="00CF20E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A47E1" w:rsidRPr="00915E2A" w:rsidRDefault="00DA47E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DA47E1" w:rsidRPr="00090ABB" w:rsidRDefault="00DA47E1" w:rsidP="00DA47E1">
            <w:pPr>
              <w:pStyle w:val="ad"/>
            </w:pPr>
            <w:r w:rsidRPr="00090ABB">
              <w:t>2024.69</w:t>
            </w:r>
          </w:p>
        </w:tc>
        <w:tc>
          <w:tcPr>
            <w:tcW w:w="1080" w:type="dxa"/>
            <w:shd w:val="clear" w:color="auto" w:fill="auto"/>
          </w:tcPr>
          <w:p w:rsidR="00DA47E1" w:rsidRDefault="00DA47E1" w:rsidP="00DA47E1">
            <w:pPr>
              <w:pStyle w:val="ad"/>
            </w:pPr>
            <w:r w:rsidRPr="00090ABB">
              <w:t>3.87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96E2" wp14:editId="01EE56EA">
                <wp:simplePos x="0" y="0"/>
                <wp:positionH relativeFrom="column">
                  <wp:posOffset>-80645</wp:posOffset>
                </wp:positionH>
                <wp:positionV relativeFrom="paragraph">
                  <wp:posOffset>7843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6.35pt;margin-top:.6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08330A" w:rsidRPr="0008330A" w:rsidRDefault="00612A3A" w:rsidP="00612A3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612A3A">
        <w:rPr>
          <w:rFonts w:asciiTheme="minorHAnsi" w:eastAsia="標楷體" w:hAnsiTheme="minorHAnsi" w:hint="eastAsia"/>
          <w:noProof/>
          <w:sz w:val="16"/>
          <w:szCs w:val="16"/>
        </w:rPr>
        <w:t>美國總統當選人特朗普表示，美國不一定要堅守長期以來的“一個中國”政策。</w:t>
      </w:r>
      <w:r w:rsidR="006D1D2F" w:rsidRPr="00612A3A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Pr="00612A3A">
        <w:rPr>
          <w:rFonts w:asciiTheme="minorHAnsi" w:eastAsia="標楷體" w:hAnsiTheme="minorHAnsi" w:hint="eastAsia"/>
          <w:noProof/>
          <w:sz w:val="16"/>
          <w:szCs w:val="16"/>
        </w:rPr>
        <w:t>“我完全了解‘一個中國’政策，但我不知道我們為何必須受到‘一個中國’政策的束縛，除非我們和中國達成與其他方面的協議，包括貿易，”特朗普對福斯新聞台表示。</w:t>
      </w:r>
    </w:p>
    <w:p w:rsidR="009942EB" w:rsidRDefault="006D1D2F" w:rsidP="006D1D2F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D28FAF" wp14:editId="78DEEF42">
                <wp:simplePos x="0" y="0"/>
                <wp:positionH relativeFrom="column">
                  <wp:posOffset>-105622</wp:posOffset>
                </wp:positionH>
                <wp:positionV relativeFrom="paragraph">
                  <wp:posOffset>712681</wp:posOffset>
                </wp:positionV>
                <wp:extent cx="3409950" cy="552450"/>
                <wp:effectExtent l="0" t="0" r="76200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552450"/>
                          <a:chOff x="-58004" y="5889561"/>
                          <a:chExt cx="341220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4000" y="6000531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5889561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3pt;margin-top:56.1pt;width:268.5pt;height:43.5pt;z-index:251686912;mso-width-relative:margin;mso-height-relative:margin" coordorigin="-580,58895" coordsize="34122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">
                <v:shape id="手繪多邊形 13" o:spid="_x0000_s1030" style="position:absolute;left:-240;top:60005;width:33782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58895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石油輸出國組織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(OPEC)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成員國與非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產油國周六自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2001</w:t>
      </w:r>
      <w:r>
        <w:rPr>
          <w:rFonts w:asciiTheme="minorHAnsi" w:eastAsia="標楷體" w:hAnsiTheme="minorHAnsi" w:hint="eastAsia"/>
          <w:noProof/>
          <w:sz w:val="16"/>
          <w:szCs w:val="16"/>
        </w:rPr>
        <w:t>年以來首次達成減產協議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。上周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同意從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日開始減產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120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日，沙特減產幅度高達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48.6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日。非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OPEC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產油國周六同意減產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55.8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日，略低於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60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/</w:t>
      </w:r>
      <w:r>
        <w:rPr>
          <w:rFonts w:asciiTheme="minorHAnsi" w:eastAsia="標楷體" w:hAnsiTheme="minorHAnsi" w:hint="eastAsia"/>
          <w:noProof/>
          <w:sz w:val="16"/>
          <w:szCs w:val="16"/>
        </w:rPr>
        <w:t>日的最初目標。</w:t>
      </w:r>
      <w:r>
        <w:rPr>
          <w:rFonts w:ascii="Tahoma" w:eastAsia="標楷體" w:hAnsi="Tahoma"/>
          <w:b/>
          <w:sz w:val="16"/>
          <w:szCs w:val="16"/>
        </w:rPr>
        <w:t xml:space="preserve"> </w:t>
      </w:r>
    </w:p>
    <w:p w:rsidR="006D1D2F" w:rsidRDefault="006D1D2F" w:rsidP="006D1D2F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F43F89" w:rsidRDefault="00F43F89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A001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159D0" w:rsidRDefault="00FD1704" w:rsidP="00091C2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</w:t>
      </w:r>
      <w:r w:rsidR="007A46FE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幣兌美元週五收貶逾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角，隨亞幣走弱。韓元大貶，外資保管銀行稍有匯出，令台幣貶破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31.8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關卡，不過也有小型的外商銀拋匯，外商銀動向並不一致。展望本週的美聯儲會議，目前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升息已勢在必行，市場更關注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如何指引市場明年的升息步驟。另外，年底出口商有拋匯需求，加上明年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月的農曆春節頗早，出口商為因應需求可能將及早打算，不排除在國際美元走強之際，出口商又有恐慌拋盤，助漲台幣。今日台幣兌美元區間暫看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31.850-32.000</w:t>
      </w:r>
      <w:r w:rsidR="0093697A" w:rsidRPr="0093697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4E1399" w:rsidP="00091C2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FC46D5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臺灣銀行間短率週五大致持穩。雖有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300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億台幣公債交割，但資金並未偏緊，拆款多以到期續作為主，調度新資金需求不大。人民幣市場方面，隔拆利率在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2.50%-3.50%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 xml:space="preserve"> 2,100 -2,400</w:t>
      </w:r>
      <w:r w:rsidR="00612A3A" w:rsidRPr="00612A3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75BD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="004E1399"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D46E03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 </w:t>
      </w:r>
      <w:r w:rsidR="006D29D4"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上週五美國公布密西根大學消費信心優於市場預期，加上股市上揚與市場預估本週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將進一步升息，使得債券市場利率進一步反彈，終場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6.0bps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2.467%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4.8bps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3.153%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，本週市場關注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會議、物價、房市開工與許可數據公布，而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8F5DCE" w:rsidRPr="008F5DCE">
        <w:rPr>
          <w:rFonts w:asciiTheme="minorHAnsi" w:eastAsia="標楷體" w:hAnsiTheme="minorHAnsi" w:hint="eastAsia"/>
          <w:noProof/>
          <w:sz w:val="16"/>
          <w:szCs w:val="16"/>
        </w:rPr>
        <w:t>會議關注未來利率展望，操作建議暫以區間操作為宜。</w:t>
      </w:r>
    </w:p>
    <w:p w:rsidR="00FE4CDC" w:rsidRPr="00584250" w:rsidRDefault="00FE4CDC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C32C53" w:rsidRDefault="00C32C53" w:rsidP="00C32C53">
      <w:pPr>
        <w:ind w:firstLineChars="200" w:firstLine="32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五離岸人民幣續貶。周五從亞洲盤即走弱，接著歐洲盤及美國盤進來後人民幣相繼貶破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6.93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及逼近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6.94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關卡，終場收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6.9265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。從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初人民幣回升至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6.86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高點後，迄今回貶至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6.93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，隨著美元指數可望挑戰前波高點，人民幣回測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月底低點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6.96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機會相當高。離岸人民幣換匯點大漲，反應離岸人民幣流動性吃緊，一個月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368(+78)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2495(+300)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。期貨週五成交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2524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0.79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4264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1.42</w:t>
      </w:r>
      <w:r w:rsidR="006D1D2F" w:rsidRPr="006D1D2F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2E6CC3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2.20%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Dec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93.8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12/09-12/18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12/12-12/15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720.0b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651.3b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12/12-12/15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1100.0b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896.3b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12/12-12/15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7.20%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12/12-12/15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22.50%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23.90%</w:t>
            </w:r>
          </w:p>
        </w:tc>
      </w:tr>
      <w:tr w:rsidR="002E6CC3" w:rsidRPr="002E6CC3" w:rsidTr="002E6CC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12/12-12/15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11.50%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C3" w:rsidRPr="002E6CC3" w:rsidRDefault="002E6CC3" w:rsidP="002E6C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6CC3">
              <w:rPr>
                <w:rFonts w:ascii="Tahoma" w:hAnsi="Tahoma" w:cs="Tahoma" w:hint="eastAsia"/>
                <w:color w:val="000000"/>
                <w:sz w:val="20"/>
                <w:szCs w:val="20"/>
              </w:rPr>
              <w:t>11.60%</w:t>
            </w:r>
          </w:p>
        </w:tc>
      </w:tr>
    </w:tbl>
    <w:p w:rsidR="0073278A" w:rsidRPr="002956E7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5E7"/>
    <w:rsid w:val="000320F5"/>
    <w:rsid w:val="00032AB2"/>
    <w:rsid w:val="00034368"/>
    <w:rsid w:val="0003440A"/>
    <w:rsid w:val="00034CB4"/>
    <w:rsid w:val="00035691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5016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E3E"/>
    <w:rsid w:val="00075602"/>
    <w:rsid w:val="00080158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C1017"/>
    <w:rsid w:val="000C1EC8"/>
    <w:rsid w:val="000C2CE4"/>
    <w:rsid w:val="000C30CC"/>
    <w:rsid w:val="000C366B"/>
    <w:rsid w:val="000C41AD"/>
    <w:rsid w:val="000C5A0A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3D"/>
    <w:rsid w:val="00100DD5"/>
    <w:rsid w:val="00101130"/>
    <w:rsid w:val="00101E2F"/>
    <w:rsid w:val="00103545"/>
    <w:rsid w:val="00103F6E"/>
    <w:rsid w:val="00104275"/>
    <w:rsid w:val="0010659A"/>
    <w:rsid w:val="00110737"/>
    <w:rsid w:val="0011200F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31E27"/>
    <w:rsid w:val="001321FF"/>
    <w:rsid w:val="001329E9"/>
    <w:rsid w:val="00135049"/>
    <w:rsid w:val="00135227"/>
    <w:rsid w:val="00136430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3CE0"/>
    <w:rsid w:val="002C3F03"/>
    <w:rsid w:val="002D270F"/>
    <w:rsid w:val="002D3953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11A89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5A20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3C83"/>
    <w:rsid w:val="00543C96"/>
    <w:rsid w:val="00546BB7"/>
    <w:rsid w:val="00546D2F"/>
    <w:rsid w:val="00551B79"/>
    <w:rsid w:val="00552B75"/>
    <w:rsid w:val="00552F80"/>
    <w:rsid w:val="005569EB"/>
    <w:rsid w:val="00560030"/>
    <w:rsid w:val="00561285"/>
    <w:rsid w:val="00561915"/>
    <w:rsid w:val="00561E6C"/>
    <w:rsid w:val="005631E4"/>
    <w:rsid w:val="00564376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7C4B"/>
    <w:rsid w:val="005F046F"/>
    <w:rsid w:val="005F468F"/>
    <w:rsid w:val="005F5BAA"/>
    <w:rsid w:val="005F5BE5"/>
    <w:rsid w:val="005F5CD4"/>
    <w:rsid w:val="005F60B3"/>
    <w:rsid w:val="006008A3"/>
    <w:rsid w:val="00601A25"/>
    <w:rsid w:val="00601F81"/>
    <w:rsid w:val="00602533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37E8"/>
    <w:rsid w:val="00664E2D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87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B90"/>
    <w:rsid w:val="00766D4D"/>
    <w:rsid w:val="007704D5"/>
    <w:rsid w:val="00770B66"/>
    <w:rsid w:val="00771AC0"/>
    <w:rsid w:val="007745A1"/>
    <w:rsid w:val="007752BC"/>
    <w:rsid w:val="007761EB"/>
    <w:rsid w:val="00776AEF"/>
    <w:rsid w:val="00777AC5"/>
    <w:rsid w:val="00780A04"/>
    <w:rsid w:val="00781619"/>
    <w:rsid w:val="00783758"/>
    <w:rsid w:val="007851ED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2B8F"/>
    <w:rsid w:val="00893516"/>
    <w:rsid w:val="00893975"/>
    <w:rsid w:val="00895AFD"/>
    <w:rsid w:val="00897A86"/>
    <w:rsid w:val="008A2DD8"/>
    <w:rsid w:val="008A38E1"/>
    <w:rsid w:val="008A3CF9"/>
    <w:rsid w:val="008A4540"/>
    <w:rsid w:val="008A48E4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1E88"/>
    <w:rsid w:val="00913B1A"/>
    <w:rsid w:val="00915E2A"/>
    <w:rsid w:val="00916752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DA"/>
    <w:rsid w:val="00955F83"/>
    <w:rsid w:val="00956691"/>
    <w:rsid w:val="0096374E"/>
    <w:rsid w:val="00963C9A"/>
    <w:rsid w:val="009646CE"/>
    <w:rsid w:val="00964991"/>
    <w:rsid w:val="0096546A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4226"/>
    <w:rsid w:val="00AB486D"/>
    <w:rsid w:val="00AB522A"/>
    <w:rsid w:val="00AB743D"/>
    <w:rsid w:val="00AB774E"/>
    <w:rsid w:val="00AB7EA8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2C53"/>
    <w:rsid w:val="00C32F92"/>
    <w:rsid w:val="00C33139"/>
    <w:rsid w:val="00C33416"/>
    <w:rsid w:val="00C34819"/>
    <w:rsid w:val="00C36451"/>
    <w:rsid w:val="00C36E36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486"/>
    <w:rsid w:val="00C64C4B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3C99"/>
    <w:rsid w:val="00CD6229"/>
    <w:rsid w:val="00CD693B"/>
    <w:rsid w:val="00CD711B"/>
    <w:rsid w:val="00CE3216"/>
    <w:rsid w:val="00CE349A"/>
    <w:rsid w:val="00CE4475"/>
    <w:rsid w:val="00CE59F4"/>
    <w:rsid w:val="00CE5EE3"/>
    <w:rsid w:val="00CE5FBC"/>
    <w:rsid w:val="00CF0723"/>
    <w:rsid w:val="00CF0A0D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FA"/>
    <w:rsid w:val="00D10A35"/>
    <w:rsid w:val="00D1239B"/>
    <w:rsid w:val="00D147E0"/>
    <w:rsid w:val="00D2326B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20B8D"/>
    <w:rsid w:val="00E224E3"/>
    <w:rsid w:val="00E22D71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5248"/>
    <w:rsid w:val="00E51705"/>
    <w:rsid w:val="00E51FA0"/>
    <w:rsid w:val="00E52A84"/>
    <w:rsid w:val="00E53862"/>
    <w:rsid w:val="00E54653"/>
    <w:rsid w:val="00E57D41"/>
    <w:rsid w:val="00E61DF4"/>
    <w:rsid w:val="00E620B7"/>
    <w:rsid w:val="00E62D1B"/>
    <w:rsid w:val="00E63491"/>
    <w:rsid w:val="00E63C06"/>
    <w:rsid w:val="00E65BAF"/>
    <w:rsid w:val="00E70EB4"/>
    <w:rsid w:val="00E74FE3"/>
    <w:rsid w:val="00E751BE"/>
    <w:rsid w:val="00E76351"/>
    <w:rsid w:val="00E7646A"/>
    <w:rsid w:val="00E77423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2A2A"/>
    <w:rsid w:val="00F22B85"/>
    <w:rsid w:val="00F23CB1"/>
    <w:rsid w:val="00F24BC3"/>
    <w:rsid w:val="00F26F41"/>
    <w:rsid w:val="00F2779B"/>
    <w:rsid w:val="00F31E68"/>
    <w:rsid w:val="00F348C3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5301"/>
    <w:rsid w:val="00F56D8A"/>
    <w:rsid w:val="00F57CF1"/>
    <w:rsid w:val="00F6246B"/>
    <w:rsid w:val="00F6294F"/>
    <w:rsid w:val="00F63247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D842-5259-4A79-8242-E9BEEC52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11</cp:revision>
  <cp:lastPrinted>2015-08-07T06:27:00Z</cp:lastPrinted>
  <dcterms:created xsi:type="dcterms:W3CDTF">2016-12-12T01:08:00Z</dcterms:created>
  <dcterms:modified xsi:type="dcterms:W3CDTF">2016-12-12T01:40:00Z</dcterms:modified>
</cp:coreProperties>
</file>